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0715af82f4e9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16205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IVANA GORANA KOVAČIĆA GORNJE BAZJE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1.847.762,79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1.673.468,43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1.792.739,93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1.915.670,14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242.201,71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44.397,57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65.584,79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44.397,57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62.084,79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304.286,50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Sva knjiženja u 2025. godini provedena su sukladno Zakonima i novom Pravilniku o proračunskom računovodstvu. Plaće su knjižene po novoj shemi (rashod i obveza se priznaje zadnjim danom mjeseca prosinca, a prihod će biti priznat i siječnju 2026. prilikom isplate. Obveze za materijalne rashode odnose se na nabavu namirnica za školsku kuhinju i nabavu potrebnih materijala i sredstava za provedbu programa u sklopu projekta "Cjelodnevne škole".  Temeljem nove sheme knjiženja nastao je manjak prihoda poslovanja koji će biti pokriven u siječnju nakon isplate plaće , doznake MZOM-a sredstava za provedbu Eksperimentalnog programa "Cjelodnevna škola" te doznake sredstava za besplatnu prehranu učenika.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137.029,47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Navedeni iznos odnosi se na plaće za 12/2025 i naknadu zbog neispunjenja kvotnog zapošljavanja osoba s invaliditetom.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proizvedene dugotrajne imovine (šifre 721+722+723+724+725+726)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Navedeni prihod odnosi se na prodaju školskog kombija.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5.345,22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14.659,23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274,2</w:t>
            </w:r>
          </w:p>
        </w:tc>
      </w:tr>
    </w:tbl>
    <w:p>
      <w:pPr>
        <w:spacing w:before="0" w:after="0"/>
      </w:pPr>
    </w:p>
    <w:p>
      <w:r>
        <w:t xml:space="preserve">Temeljem sudjelovanja u Eksperimentalnom programu "Cjelodnevna škola" ustanova je kroz godinu nabavila nove stolice za školski restoran, nove klupe za dio učionica i ostali namještaj i opremu neophodnu za redovno poslovanje.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7.152,39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227.950,78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3187,1</w:t>
            </w:r>
          </w:p>
        </w:tc>
      </w:tr>
    </w:tbl>
    <w:p>
      <w:pPr>
        <w:spacing w:before="0" w:after="0"/>
      </w:pPr>
    </w:p>
    <w:p>
      <w:r>
        <w:t xml:space="preserve">Najveći dio obveza odnosi se na plaću 12/2025 jer je temeljem novog Pravilnika o proračunskom računovodstvu rashod i obveza za plaću priznat zadnjim danom mjeseca prosinca, a prihod će biti priznat u siječnju prilikom isplate plaća. Obveze za materijalne rashode odnose se na račune dobavljača za namirnice te za režijske troškove nastale u 12. mjesecu. Režijski troškovi biti će plaćeni u siječnju od strane osnivača, a računi za namirnice biti će podmireni nakon doznake sredstava za prehranu učenika iz državnog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79.178,74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-225.107,76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-284,3</w:t>
            </w:r>
          </w:p>
        </w:tc>
      </w:tr>
    </w:tbl>
    <w:p>
      <w:pPr>
        <w:spacing w:before="0" w:after="0"/>
      </w:pPr>
    </w:p>
    <w:p>
      <w:r>
        <w:t xml:space="preserve">Značajni manjak u rezultatu poslovanja nastao je zbog novih shema knjiženja plaće i rashoda za zaposlenike.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53.577,75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76.205,72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142,2</w:t>
            </w:r>
          </w:p>
        </w:tc>
      </w:tr>
    </w:tbl>
    <w:p>
      <w:pPr>
        <w:spacing w:before="0" w:after="0"/>
      </w:pPr>
    </w:p>
    <w:p>
      <w:r>
        <w:t xml:space="preserve">Iznos od 76.205,72 € odnosi se na namirnice za školsku kuhinju. S obzirom da prehrana nije primarna djelatnost osnovnoškolskog obrazovanja, rashod za nabavu namirnica izdvojen je od ostalih rashoda poslovanja na šifri 091. 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29.662,52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188,3</w:t>
            </w:r>
          </w:p>
        </w:tc>
      </w:tr>
    </w:tbl>
    <w:p>
      <w:pPr>
        <w:spacing w:before="0" w:after="0"/>
      </w:pPr>
    </w:p>
    <w:p>
      <w:r>
        <w:t xml:space="preserve">Promet po računu 915 rezultat je provedenih ispravaka vrijednosti provedenih u 2025. godini. 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52.223,42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Navedeni iznos odnosi se na primljeni predujam za provedbu Erasmus mobilnosti. Mobilnosti će biti provedene u toku 2026. godini, a prihod priznat i obveza zatvorena po završnom izvješću nakon provedbe programa.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Najveći dio obveza odnosi se na plaću 12/2025 jer je temeljem novog Pravilnika o proračunskom računovodstvu rashod i obveza za plaću priznat zadnjim danom mjeseca prosinca, a prihod će biti priznat u siječnju prilikom isplate plaća. Obveze za materijalne rashode odnose se na račune dobavljača za namirnice te za režijske troškove nastale u 12. mjesecu. Režijski troškovi biti će plaćeni u siječnju od strane osnivača, a računi za namirnice biti će podmireni nakon doznake sredstava za prehranu učenika iz državnog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OŠ Ivana Gorana Kovačića je u 2024. ostvarila prihod za provedbu Erasmus programa u iznosu 34.614,00 €. Sredstva su utrošena na provedbe mobilnosti u 2025. godini. U 2025. godini ponovno je odobreno sudjelovanje u Erasmus programu. Ukupno ugovoren iznos potpore je 60.000,00 €. Školi je od strane AMPEU-a doznačeno 48.000,00 € predujma te je temeljem novog pravilnika i sheme knjiženja navedeni iznos knjižen na računima 275210/167210, a prihod će biti priznat po prihvaćenom završnom izvješću o provedbi. Ukupno ugovoren iznos potpore je sukladno uputama knjižen na računima 991710/996710. Sredstva će biti utrošena u toku 2026. godine na provedbe mobilnosti.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211cb18f3741d1" /></Relationships>
</file>