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DCD4" w14:textId="4539F7BF" w:rsidR="004D2200" w:rsidRPr="000C6F27" w:rsidRDefault="004D2200" w:rsidP="004D220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C6F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</w:t>
      </w:r>
      <w:r w:rsidRPr="000C6F27">
        <w:rPr>
          <w:rFonts w:ascii="Times New Roman" w:eastAsia="Calibri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351124CF" wp14:editId="6DBDEF4A">
            <wp:extent cx="325755" cy="334010"/>
            <wp:effectExtent l="0" t="0" r="0" b="8890"/>
            <wp:docPr id="1" name="Slika 1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grb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R E P U B L I K A   H R V A T S K 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VIROVITIČKO-PODRAVSKA ŽUPANIJA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OSNOVNA ŠKOLA IVANA GORANA KOVAČIĆA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GORNJE BAZJE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Gornje </w:t>
      </w:r>
      <w:proofErr w:type="spellStart"/>
      <w:r w:rsidRPr="000C6F27">
        <w:rPr>
          <w:rFonts w:ascii="Times New Roman" w:eastAsia="Calibri" w:hAnsi="Times New Roman" w:cs="Times New Roman"/>
          <w:sz w:val="24"/>
          <w:szCs w:val="24"/>
        </w:rPr>
        <w:t>Bazje</w:t>
      </w:r>
      <w:proofErr w:type="spellEnd"/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131, 33406 Lukač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</w:r>
      <w:hyperlink r:id="rId6" w:history="1">
        <w:r w:rsidRPr="000C6F27">
          <w:rPr>
            <w:rFonts w:ascii="Times New Roman" w:eastAsia="Calibri" w:hAnsi="Times New Roman" w:cs="Times New Roman"/>
            <w:color w:val="0563C1"/>
            <w:sz w:val="24"/>
            <w:u w:val="single"/>
          </w:rPr>
          <w:t>Tel:033/786-150</w:t>
        </w:r>
      </w:hyperlink>
      <w:r w:rsidRPr="000C6F27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br/>
      </w:r>
      <w:r w:rsidRPr="000C6F27">
        <w:rPr>
          <w:rFonts w:ascii="Times New Roman" w:eastAsia="Calibri" w:hAnsi="Times New Roman" w:cs="Times New Roman"/>
          <w:sz w:val="24"/>
          <w:szCs w:val="24"/>
        </w:rPr>
        <w:t>KLASA: 400-01/23-01/0</w:t>
      </w:r>
      <w:r w:rsidR="00EF0855">
        <w:rPr>
          <w:rFonts w:ascii="Times New Roman" w:eastAsia="Calibri" w:hAnsi="Times New Roman" w:cs="Times New Roman"/>
          <w:sz w:val="24"/>
          <w:szCs w:val="24"/>
        </w:rPr>
        <w:t>9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URBROJ: 2189-18-01-23-</w:t>
      </w:r>
      <w:r w:rsidR="00EF0855">
        <w:rPr>
          <w:rFonts w:ascii="Times New Roman" w:eastAsia="Calibri" w:hAnsi="Times New Roman" w:cs="Times New Roman"/>
          <w:sz w:val="24"/>
          <w:szCs w:val="24"/>
        </w:rPr>
        <w:t>2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Gornje </w:t>
      </w:r>
      <w:proofErr w:type="spellStart"/>
      <w:r w:rsidRPr="000C6F27">
        <w:rPr>
          <w:rFonts w:ascii="Times New Roman" w:eastAsia="Calibri" w:hAnsi="Times New Roman" w:cs="Times New Roman"/>
          <w:sz w:val="24"/>
          <w:szCs w:val="24"/>
        </w:rPr>
        <w:t>Bazje</w:t>
      </w:r>
      <w:proofErr w:type="spellEnd"/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0855">
        <w:rPr>
          <w:rFonts w:ascii="Times New Roman" w:eastAsia="Calibri" w:hAnsi="Times New Roman" w:cs="Times New Roman"/>
          <w:sz w:val="24"/>
          <w:szCs w:val="24"/>
        </w:rPr>
        <w:t>28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0855">
        <w:rPr>
          <w:rFonts w:ascii="Times New Roman" w:eastAsia="Calibri" w:hAnsi="Times New Roman" w:cs="Times New Roman"/>
          <w:sz w:val="24"/>
          <w:szCs w:val="24"/>
        </w:rPr>
        <w:t>kolovoz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C6F27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08738743" w14:textId="77777777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318CB70" w14:textId="77777777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D1C0025" w14:textId="77777777" w:rsidR="004D2200" w:rsidRPr="000C6F27" w:rsidRDefault="004D2200" w:rsidP="000F31FB">
      <w:pPr>
        <w:autoSpaceDE w:val="0"/>
        <w:autoSpaceDN w:val="0"/>
        <w:adjustRightInd w:val="0"/>
        <w:spacing w:after="0" w:line="276" w:lineRule="auto"/>
        <w:ind w:right="160"/>
        <w:rPr>
          <w:rFonts w:ascii="Times New Roman" w:eastAsia="Calibri" w:hAnsi="Times New Roman" w:cs="Times New Roman"/>
          <w:b/>
          <w:iCs/>
          <w:color w:val="000000"/>
        </w:rPr>
      </w:pPr>
    </w:p>
    <w:p w14:paraId="163E66C8" w14:textId="01871B3D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Obrazloženje polugodišnjeg izvještaja o izvršenju proračuna</w:t>
      </w:r>
    </w:p>
    <w:p w14:paraId="00D737AD" w14:textId="77777777" w:rsidR="00B5048A" w:rsidRDefault="00B5048A" w:rsidP="004D2200">
      <w:pPr>
        <w:autoSpaceDE w:val="0"/>
        <w:autoSpaceDN w:val="0"/>
        <w:adjustRightInd w:val="0"/>
        <w:spacing w:after="240" w:line="276" w:lineRule="auto"/>
        <w:ind w:left="160" w:right="160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14:paraId="72F9CA3D" w14:textId="2797AD11" w:rsidR="004D2200" w:rsidRPr="000C6F27" w:rsidRDefault="00B5048A" w:rsidP="004D2200">
      <w:pPr>
        <w:autoSpaceDE w:val="0"/>
        <w:autoSpaceDN w:val="0"/>
        <w:adjustRightInd w:val="0"/>
        <w:spacing w:after="240" w:line="276" w:lineRule="auto"/>
        <w:ind w:left="160" w:right="16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  <w:r w:rsidR="004D2200" w:rsidRPr="000C6F27">
        <w:rPr>
          <w:rFonts w:ascii="Times New Roman" w:eastAsia="Calibri" w:hAnsi="Times New Roman" w:cs="Times New Roman"/>
          <w:b/>
          <w:iCs/>
          <w:color w:val="000000"/>
        </w:rPr>
        <w:t>1. siječnja do 30. lipnja 202</w:t>
      </w:r>
      <w:r w:rsidR="004D2200">
        <w:rPr>
          <w:rFonts w:ascii="Times New Roman" w:eastAsia="Calibri" w:hAnsi="Times New Roman" w:cs="Times New Roman"/>
          <w:b/>
          <w:iCs/>
          <w:color w:val="000000"/>
        </w:rPr>
        <w:t>3</w:t>
      </w:r>
      <w:r w:rsidR="004D2200" w:rsidRPr="000C6F27">
        <w:rPr>
          <w:rFonts w:ascii="Times New Roman" w:eastAsia="Calibri" w:hAnsi="Times New Roman" w:cs="Times New Roman"/>
          <w:b/>
          <w:iCs/>
          <w:color w:val="000000"/>
        </w:rPr>
        <w:t>. godine</w:t>
      </w:r>
    </w:p>
    <w:p w14:paraId="73D08037" w14:textId="77777777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Naziv obveznika: Osnovna škola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</w:p>
    <w:p w14:paraId="20D3BA24" w14:textId="77777777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Pošta i mjesto: 33406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</w:p>
    <w:p w14:paraId="7598A9CD" w14:textId="77777777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Adresa sjedišta: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131 </w:t>
      </w:r>
    </w:p>
    <w:p w14:paraId="17CF2976" w14:textId="40F08B46" w:rsidR="004D2200" w:rsidRPr="000C6F27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>Matični broj: 03104770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</w:t>
      </w:r>
    </w:p>
    <w:p w14:paraId="4B0D4ED0" w14:textId="7819CA7C" w:rsidR="004D2200" w:rsidRDefault="004D2200" w:rsidP="004D2200">
      <w:pPr>
        <w:spacing w:line="276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>OIB: 01764637621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</w:t>
      </w:r>
    </w:p>
    <w:p w14:paraId="7658DF25" w14:textId="4EA02CEA" w:rsidR="004D2200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71E7EA37" w14:textId="69113EAF" w:rsidR="004D2200" w:rsidRPr="00B5048A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53082F2" w14:textId="1D64138B" w:rsidR="004D2200" w:rsidRPr="00B5048A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D220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Zakonom o proračunu ( ,,Narodne novine", broj 144/21.) i Pravilnikom o </w:t>
      </w:r>
      <w:proofErr w:type="spellStart"/>
      <w:r w:rsidRPr="004D220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poIugodišnjem</w:t>
      </w:r>
      <w:proofErr w:type="spellEnd"/>
      <w:r w:rsidRPr="004D220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i godišnjem izvještaju o izvršenju proračuna i financijskog plana ( ,,Narodne novine", broj 85/23 ), propisuje se obveza izrade i donošenje izvještaja o izvršenju financijskog plana za sve proračunske korisnike.</w:t>
      </w:r>
    </w:p>
    <w:p w14:paraId="234E85AD" w14:textId="166B10F2" w:rsidR="004D2200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0E01FFCB" w14:textId="77777777" w:rsidR="004D2200" w:rsidRPr="00E078B2" w:rsidRDefault="004D2200" w:rsidP="004D2200">
      <w:pPr>
        <w:widowControl w:val="0"/>
        <w:spacing w:line="240" w:lineRule="auto"/>
        <w:ind w:left="418" w:right="-20"/>
        <w:rPr>
          <w:b/>
          <w:bCs/>
          <w:color w:val="000000"/>
        </w:rPr>
      </w:pPr>
      <w:r w:rsidRPr="00E078B2">
        <w:rPr>
          <w:rFonts w:ascii="Calibri" w:eastAsia="Calibri" w:hAnsi="Calibri" w:cs="Calibri"/>
          <w:b/>
          <w:bCs/>
          <w:color w:val="000000"/>
        </w:rPr>
        <w:t>1. OPĆI DIO IZVRŠENJA FINANCIJSKOG PLANA 2023.</w:t>
      </w:r>
    </w:p>
    <w:p w14:paraId="2475D840" w14:textId="066C07A5" w:rsidR="004D2200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tbl>
      <w:tblPr>
        <w:tblStyle w:val="Reetkatablice"/>
        <w:tblW w:w="0" w:type="auto"/>
        <w:tblInd w:w="160" w:type="dxa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4D2200" w14:paraId="69C26978" w14:textId="77777777" w:rsidTr="004D2200">
        <w:trPr>
          <w:trHeight w:val="991"/>
        </w:trPr>
        <w:tc>
          <w:tcPr>
            <w:tcW w:w="2059" w:type="dxa"/>
          </w:tcPr>
          <w:p w14:paraId="19E9618E" w14:textId="77777777" w:rsidR="004D2200" w:rsidRDefault="004D2200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2950476A" w14:textId="20EFBD9D" w:rsidR="004D2200" w:rsidRPr="00B5048A" w:rsidRDefault="004D2200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IZVRŠENJE      2022</w:t>
            </w:r>
          </w:p>
        </w:tc>
        <w:tc>
          <w:tcPr>
            <w:tcW w:w="2059" w:type="dxa"/>
          </w:tcPr>
          <w:p w14:paraId="07D07900" w14:textId="1377572D" w:rsidR="004D2200" w:rsidRPr="00B5048A" w:rsidRDefault="004D2200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IZVORNI   PLAN   2023</w:t>
            </w:r>
          </w:p>
        </w:tc>
        <w:tc>
          <w:tcPr>
            <w:tcW w:w="2059" w:type="dxa"/>
          </w:tcPr>
          <w:p w14:paraId="63BEBBC5" w14:textId="78D51D7D" w:rsidR="004D2200" w:rsidRPr="00B5048A" w:rsidRDefault="000F31FB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TEKUĆI PLAN   2023</w:t>
            </w:r>
          </w:p>
        </w:tc>
        <w:tc>
          <w:tcPr>
            <w:tcW w:w="2060" w:type="dxa"/>
          </w:tcPr>
          <w:p w14:paraId="273650B1" w14:textId="2FA2A8E5" w:rsidR="004D2200" w:rsidRPr="00B5048A" w:rsidRDefault="000F31FB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IZVRŠENJE        06 / 2023</w:t>
            </w:r>
          </w:p>
        </w:tc>
      </w:tr>
      <w:tr w:rsidR="004D2200" w14:paraId="11B0D7E9" w14:textId="77777777" w:rsidTr="004D2200">
        <w:trPr>
          <w:trHeight w:val="839"/>
        </w:trPr>
        <w:tc>
          <w:tcPr>
            <w:tcW w:w="2059" w:type="dxa"/>
          </w:tcPr>
          <w:p w14:paraId="62551242" w14:textId="383A3BBE" w:rsidR="004D2200" w:rsidRPr="00B5048A" w:rsidRDefault="000F31FB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SVEUKUPNI PRIHODI</w:t>
            </w:r>
          </w:p>
        </w:tc>
        <w:tc>
          <w:tcPr>
            <w:tcW w:w="2059" w:type="dxa"/>
          </w:tcPr>
          <w:p w14:paraId="74AA5CDE" w14:textId="65D036F7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543.817,56 €</w:t>
            </w:r>
          </w:p>
        </w:tc>
        <w:tc>
          <w:tcPr>
            <w:tcW w:w="2059" w:type="dxa"/>
          </w:tcPr>
          <w:p w14:paraId="46B9AA42" w14:textId="62921574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897.026,96 €</w:t>
            </w:r>
          </w:p>
        </w:tc>
        <w:tc>
          <w:tcPr>
            <w:tcW w:w="2059" w:type="dxa"/>
          </w:tcPr>
          <w:p w14:paraId="5BC57852" w14:textId="2BABEB79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905.117,88 €</w:t>
            </w:r>
          </w:p>
        </w:tc>
        <w:tc>
          <w:tcPr>
            <w:tcW w:w="2060" w:type="dxa"/>
          </w:tcPr>
          <w:p w14:paraId="41A5D388" w14:textId="0B71374A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539.711,26 €</w:t>
            </w:r>
          </w:p>
        </w:tc>
      </w:tr>
      <w:tr w:rsidR="004D2200" w14:paraId="0377BB16" w14:textId="77777777" w:rsidTr="004D2200">
        <w:trPr>
          <w:trHeight w:val="957"/>
        </w:trPr>
        <w:tc>
          <w:tcPr>
            <w:tcW w:w="2059" w:type="dxa"/>
          </w:tcPr>
          <w:p w14:paraId="2B2D42A7" w14:textId="77777777" w:rsidR="000F31FB" w:rsidRPr="000F31FB" w:rsidRDefault="000F31FB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0F31F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63 - </w:t>
            </w:r>
            <w:r w:rsidRPr="000F31FB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Pomoći iz inozemstva i od subjekata unutar općeg proračuna</w:t>
            </w:r>
          </w:p>
          <w:p w14:paraId="4857AE68" w14:textId="77777777" w:rsidR="004D2200" w:rsidRDefault="004D2200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66CA9E6D" w14:textId="38EAD054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479.546,54 €</w:t>
            </w:r>
          </w:p>
        </w:tc>
        <w:tc>
          <w:tcPr>
            <w:tcW w:w="2059" w:type="dxa"/>
          </w:tcPr>
          <w:p w14:paraId="062CA2DA" w14:textId="39C9510E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798.004,66 €</w:t>
            </w:r>
          </w:p>
        </w:tc>
        <w:tc>
          <w:tcPr>
            <w:tcW w:w="2059" w:type="dxa"/>
          </w:tcPr>
          <w:p w14:paraId="79704435" w14:textId="759B3D98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798.004,66 €</w:t>
            </w:r>
          </w:p>
        </w:tc>
        <w:tc>
          <w:tcPr>
            <w:tcW w:w="2060" w:type="dxa"/>
          </w:tcPr>
          <w:p w14:paraId="62F59C3D" w14:textId="0464D456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472.153,54 €</w:t>
            </w:r>
          </w:p>
        </w:tc>
      </w:tr>
      <w:tr w:rsidR="00EF0855" w14:paraId="6E3D1864" w14:textId="77777777" w:rsidTr="004D2200">
        <w:trPr>
          <w:trHeight w:val="957"/>
        </w:trPr>
        <w:tc>
          <w:tcPr>
            <w:tcW w:w="2059" w:type="dxa"/>
          </w:tcPr>
          <w:p w14:paraId="72E5809A" w14:textId="016CCD2D" w:rsidR="00EF0855" w:rsidRP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EF0855">
              <w:rPr>
                <w:rFonts w:ascii="Times New Roman" w:eastAsia="Calibri" w:hAnsi="Times New Roman" w:cs="Times New Roman"/>
                <w:iCs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>4</w:t>
            </w:r>
            <w:r w:rsidRPr="00EF085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>–</w:t>
            </w:r>
            <w:r w:rsidRPr="00EF085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Prihodi od imovine</w:t>
            </w:r>
          </w:p>
          <w:p w14:paraId="6A6A7517" w14:textId="77777777" w:rsidR="00EF0855" w:rsidRPr="000F31FB" w:rsidRDefault="00EF0855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111AE626" w14:textId="2CB880E0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0,01 €</w:t>
            </w:r>
          </w:p>
        </w:tc>
        <w:tc>
          <w:tcPr>
            <w:tcW w:w="2059" w:type="dxa"/>
          </w:tcPr>
          <w:p w14:paraId="4FFBFDC5" w14:textId="6D77359A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265,45 €</w:t>
            </w:r>
          </w:p>
        </w:tc>
        <w:tc>
          <w:tcPr>
            <w:tcW w:w="2059" w:type="dxa"/>
          </w:tcPr>
          <w:p w14:paraId="114350BA" w14:textId="635044E8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265,45 €</w:t>
            </w:r>
          </w:p>
        </w:tc>
        <w:tc>
          <w:tcPr>
            <w:tcW w:w="2060" w:type="dxa"/>
          </w:tcPr>
          <w:p w14:paraId="5E7CA119" w14:textId="19705ABD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</w:t>
            </w:r>
          </w:p>
        </w:tc>
      </w:tr>
      <w:tr w:rsidR="004D2200" w14:paraId="2D20A555" w14:textId="77777777" w:rsidTr="004D2200">
        <w:trPr>
          <w:trHeight w:val="948"/>
        </w:trPr>
        <w:tc>
          <w:tcPr>
            <w:tcW w:w="2059" w:type="dxa"/>
          </w:tcPr>
          <w:p w14:paraId="7B551CFD" w14:textId="323F4EE5" w:rsidR="000F31FB" w:rsidRPr="000F31FB" w:rsidRDefault="000F31FB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0F31F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65 - </w:t>
            </w:r>
            <w:r w:rsidRPr="000F31FB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Prihodi od upravnih i admin</w:t>
            </w:r>
            <w:r w:rsidR="00B5048A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istrativnih</w:t>
            </w:r>
            <w:r w:rsidRPr="000F31FB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pristoj</w:t>
            </w:r>
            <w:r w:rsidR="00B5048A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bi…</w:t>
            </w:r>
          </w:p>
          <w:p w14:paraId="2350F630" w14:textId="77777777" w:rsidR="004D2200" w:rsidRDefault="004D2200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740155F1" w14:textId="65843FC3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6.890,37 €</w:t>
            </w:r>
          </w:p>
        </w:tc>
        <w:tc>
          <w:tcPr>
            <w:tcW w:w="2059" w:type="dxa"/>
          </w:tcPr>
          <w:p w14:paraId="724AFBD4" w14:textId="1AA8F015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19.060,21 €</w:t>
            </w:r>
          </w:p>
        </w:tc>
        <w:tc>
          <w:tcPr>
            <w:tcW w:w="2059" w:type="dxa"/>
          </w:tcPr>
          <w:p w14:paraId="41ABE8D4" w14:textId="01C12326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19.060,21 €</w:t>
            </w:r>
          </w:p>
        </w:tc>
        <w:tc>
          <w:tcPr>
            <w:tcW w:w="2060" w:type="dxa"/>
          </w:tcPr>
          <w:p w14:paraId="7B0FEDBF" w14:textId="21B6A962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10.405,76 €</w:t>
            </w:r>
          </w:p>
        </w:tc>
      </w:tr>
      <w:tr w:rsidR="00EF0855" w14:paraId="28C63644" w14:textId="77777777" w:rsidTr="004D2200">
        <w:trPr>
          <w:trHeight w:val="948"/>
        </w:trPr>
        <w:tc>
          <w:tcPr>
            <w:tcW w:w="2059" w:type="dxa"/>
          </w:tcPr>
          <w:p w14:paraId="4886AE80" w14:textId="295605C5" w:rsidR="00EF0855" w:rsidRP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EF0855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>6</w:t>
            </w:r>
            <w:r w:rsidRPr="00EF085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>–</w:t>
            </w:r>
            <w:r w:rsidRPr="00EF085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F0855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Prihodi od prodaje roba i proizvoda te pruženih usluga, prihodi od donacija</w:t>
            </w:r>
          </w:p>
          <w:p w14:paraId="12F18F0A" w14:textId="77777777" w:rsidR="00EF0855" w:rsidRPr="000F31FB" w:rsidRDefault="00EF0855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5809291B" w14:textId="64EF2915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1.990,84 €</w:t>
            </w:r>
          </w:p>
        </w:tc>
        <w:tc>
          <w:tcPr>
            <w:tcW w:w="2059" w:type="dxa"/>
          </w:tcPr>
          <w:p w14:paraId="727ACCAB" w14:textId="1113E531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1.459,96 €</w:t>
            </w:r>
          </w:p>
        </w:tc>
        <w:tc>
          <w:tcPr>
            <w:tcW w:w="2059" w:type="dxa"/>
          </w:tcPr>
          <w:p w14:paraId="6C0AB07B" w14:textId="44208D71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1.459,96 €</w:t>
            </w:r>
          </w:p>
        </w:tc>
        <w:tc>
          <w:tcPr>
            <w:tcW w:w="2060" w:type="dxa"/>
          </w:tcPr>
          <w:p w14:paraId="71216254" w14:textId="12D2B12D" w:rsidR="00EF0855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351,48 €</w:t>
            </w:r>
          </w:p>
        </w:tc>
      </w:tr>
      <w:tr w:rsidR="004D2200" w14:paraId="656A5D1B" w14:textId="77777777" w:rsidTr="004D2200">
        <w:trPr>
          <w:trHeight w:val="1079"/>
        </w:trPr>
        <w:tc>
          <w:tcPr>
            <w:tcW w:w="2059" w:type="dxa"/>
          </w:tcPr>
          <w:p w14:paraId="217109D6" w14:textId="03DBDD1A" w:rsidR="000F31FB" w:rsidRPr="000F31FB" w:rsidRDefault="000F31FB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67</w:t>
            </w:r>
            <w:r w:rsidRPr="000F31FB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- Prihodi iz nadležnog</w:t>
            </w:r>
          </w:p>
          <w:p w14:paraId="0D2F6A2E" w14:textId="672B084F" w:rsidR="000F31FB" w:rsidRPr="000F31FB" w:rsidRDefault="000F31FB" w:rsidP="000F31FB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0F31FB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proračuna i od H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ZZ</w:t>
            </w:r>
            <w:r w:rsidRPr="000F31FB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O-a</w:t>
            </w:r>
          </w:p>
          <w:p w14:paraId="58738BEA" w14:textId="77777777" w:rsidR="004D2200" w:rsidRDefault="004D2200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63CB6845" w14:textId="08A8EC8F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55.389,78 €</w:t>
            </w:r>
          </w:p>
        </w:tc>
        <w:tc>
          <w:tcPr>
            <w:tcW w:w="2059" w:type="dxa"/>
          </w:tcPr>
          <w:p w14:paraId="0D6C1E39" w14:textId="7EA140E4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77.971,23 €</w:t>
            </w:r>
          </w:p>
        </w:tc>
        <w:tc>
          <w:tcPr>
            <w:tcW w:w="2059" w:type="dxa"/>
          </w:tcPr>
          <w:p w14:paraId="07D02D8D" w14:textId="47023A6A" w:rsidR="004D2200" w:rsidRDefault="00EF0855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86.062,15 €</w:t>
            </w:r>
          </w:p>
        </w:tc>
        <w:tc>
          <w:tcPr>
            <w:tcW w:w="2060" w:type="dxa"/>
          </w:tcPr>
          <w:p w14:paraId="58704094" w14:textId="707F7BC8" w:rsidR="004D2200" w:rsidRDefault="002B2C43" w:rsidP="00EF0855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56.800,48 €</w:t>
            </w:r>
          </w:p>
        </w:tc>
      </w:tr>
    </w:tbl>
    <w:p w14:paraId="796E08E6" w14:textId="77777777" w:rsidR="004D2200" w:rsidRPr="004D2200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559E9F68" w14:textId="5D1E1E75" w:rsidR="004D2200" w:rsidRDefault="004D2200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678345F1" w14:textId="39DED0C3" w:rsidR="000F31FB" w:rsidRDefault="000F31FB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F31FB">
        <w:rPr>
          <w:rFonts w:ascii="Times New Roman" w:eastAsia="Calibri" w:hAnsi="Times New Roman" w:cs="Times New Roman"/>
          <w:iCs/>
          <w:color w:val="000000"/>
        </w:rPr>
        <w:t>Polugodišnjim izvještajem o izvršenju financijskog plana za 2023. godinu za Osnovnu školu</w:t>
      </w:r>
      <w:r>
        <w:rPr>
          <w:rFonts w:ascii="Times New Roman" w:eastAsia="Calibri" w:hAnsi="Times New Roman" w:cs="Times New Roman"/>
          <w:iCs/>
          <w:color w:val="000000"/>
        </w:rPr>
        <w:t xml:space="preserve"> Ivana Gorana Kovačića Gornje </w:t>
      </w:r>
      <w:proofErr w:type="spellStart"/>
      <w:r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0F31FB">
        <w:rPr>
          <w:rFonts w:ascii="Times New Roman" w:eastAsia="Calibri" w:hAnsi="Times New Roman" w:cs="Times New Roman"/>
          <w:iCs/>
          <w:color w:val="000000"/>
        </w:rPr>
        <w:t xml:space="preserve">vidljivi su planirani prihodi i primici </w:t>
      </w:r>
      <w:r>
        <w:rPr>
          <w:rFonts w:ascii="Times New Roman" w:eastAsia="Calibri" w:hAnsi="Times New Roman" w:cs="Times New Roman"/>
          <w:iCs/>
          <w:color w:val="000000"/>
        </w:rPr>
        <w:t xml:space="preserve">u iznosu od </w:t>
      </w:r>
      <w:r w:rsidR="00A77C10">
        <w:rPr>
          <w:rFonts w:ascii="Times New Roman" w:eastAsia="Calibri" w:hAnsi="Times New Roman" w:cs="Times New Roman"/>
          <w:iCs/>
          <w:color w:val="000000"/>
        </w:rPr>
        <w:t xml:space="preserve">897.026,96 €. Rebalansom je plan prihoda povećan na 905.117,88 €. </w:t>
      </w:r>
      <w:r w:rsidR="00145B61">
        <w:rPr>
          <w:rFonts w:ascii="Times New Roman" w:eastAsia="Calibri" w:hAnsi="Times New Roman" w:cs="Times New Roman"/>
          <w:iCs/>
          <w:color w:val="000000"/>
        </w:rPr>
        <w:t>U razdoblju od siječnja do lipnja 2023. godine ostvaren je prihod u iznosu od 539.711.26 €.</w:t>
      </w:r>
    </w:p>
    <w:p w14:paraId="588367BB" w14:textId="4AA393D6" w:rsidR="00EF0855" w:rsidRPr="00EF0855" w:rsidRDefault="00EF0855" w:rsidP="00EF0855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EF0855">
        <w:rPr>
          <w:rFonts w:ascii="Times New Roman" w:eastAsia="Calibri" w:hAnsi="Times New Roman" w:cs="Times New Roman"/>
          <w:iCs/>
          <w:color w:val="000000"/>
        </w:rPr>
        <w:t>Najveći udio u ostvarenju prihoda poslovanja su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EF0855">
        <w:rPr>
          <w:rFonts w:ascii="Times New Roman" w:eastAsia="Calibri" w:hAnsi="Times New Roman" w:cs="Times New Roman"/>
          <w:iCs/>
          <w:color w:val="000000"/>
        </w:rPr>
        <w:t>tekuće pomoći iz državnog proračuna proračunskim korisnicima proračuna JLP(R)S, a iz kojih se financiraju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EF0855">
        <w:rPr>
          <w:rFonts w:ascii="Times New Roman" w:eastAsia="Calibri" w:hAnsi="Times New Roman" w:cs="Times New Roman"/>
          <w:iCs/>
          <w:color w:val="000000"/>
        </w:rPr>
        <w:t>troškovi plaća i ostala  materijalna prava zaposlenika</w:t>
      </w:r>
      <w:r w:rsidR="002B2C43">
        <w:rPr>
          <w:rFonts w:ascii="Times New Roman" w:eastAsia="Calibri" w:hAnsi="Times New Roman" w:cs="Times New Roman"/>
          <w:iCs/>
          <w:color w:val="000000"/>
        </w:rPr>
        <w:t xml:space="preserve"> te prihodi od osnivača za financiranje poslovanja (DEC).</w:t>
      </w:r>
    </w:p>
    <w:p w14:paraId="7B8AABBB" w14:textId="006B489F" w:rsidR="00EF0855" w:rsidRDefault="00EF0855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2ECDA101" w14:textId="21A66168" w:rsidR="002B2C43" w:rsidRDefault="002B2C43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06F3A10C" w14:textId="4B76056A" w:rsidR="002B2C43" w:rsidRDefault="002B2C43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09BA909C" w14:textId="554A6B6A" w:rsidR="002B2C43" w:rsidRDefault="002B2C43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tbl>
      <w:tblPr>
        <w:tblStyle w:val="Reetkatablice"/>
        <w:tblW w:w="0" w:type="auto"/>
        <w:tblInd w:w="160" w:type="dxa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2B2C43" w14:paraId="69BF6826" w14:textId="77777777" w:rsidTr="002B2C43">
        <w:trPr>
          <w:trHeight w:val="949"/>
        </w:trPr>
        <w:tc>
          <w:tcPr>
            <w:tcW w:w="2059" w:type="dxa"/>
          </w:tcPr>
          <w:p w14:paraId="0AEF4A90" w14:textId="77777777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059" w:type="dxa"/>
          </w:tcPr>
          <w:p w14:paraId="190C2AEA" w14:textId="47EB626D" w:rsidR="002B2C43" w:rsidRPr="00B5048A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IZVRŠENJE      2022</w:t>
            </w:r>
          </w:p>
        </w:tc>
        <w:tc>
          <w:tcPr>
            <w:tcW w:w="2059" w:type="dxa"/>
          </w:tcPr>
          <w:p w14:paraId="02D71A1E" w14:textId="2C2BC431" w:rsidR="002B2C43" w:rsidRPr="00B5048A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IZVORNI   PLAN   2023</w:t>
            </w:r>
          </w:p>
        </w:tc>
        <w:tc>
          <w:tcPr>
            <w:tcW w:w="2059" w:type="dxa"/>
          </w:tcPr>
          <w:p w14:paraId="1111B2D7" w14:textId="2612686A" w:rsidR="002B2C43" w:rsidRPr="00B5048A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TEKUĆI PLAN   2023</w:t>
            </w:r>
          </w:p>
        </w:tc>
        <w:tc>
          <w:tcPr>
            <w:tcW w:w="2060" w:type="dxa"/>
          </w:tcPr>
          <w:p w14:paraId="6F068F96" w14:textId="2B3C7177" w:rsidR="002B2C43" w:rsidRPr="00B5048A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IZVRŠENJE        06 / 2023</w:t>
            </w:r>
          </w:p>
        </w:tc>
      </w:tr>
      <w:tr w:rsidR="002B2C43" w14:paraId="1286161C" w14:textId="77777777" w:rsidTr="002B2C43">
        <w:trPr>
          <w:trHeight w:val="977"/>
        </w:trPr>
        <w:tc>
          <w:tcPr>
            <w:tcW w:w="2059" w:type="dxa"/>
          </w:tcPr>
          <w:p w14:paraId="6F0B60FA" w14:textId="1783C478" w:rsidR="002B2C43" w:rsidRPr="00B5048A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SVEUKUPNI RASHODI</w:t>
            </w:r>
          </w:p>
        </w:tc>
        <w:tc>
          <w:tcPr>
            <w:tcW w:w="2059" w:type="dxa"/>
          </w:tcPr>
          <w:p w14:paraId="22945B98" w14:textId="1016FD8A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488.735,69 €</w:t>
            </w:r>
          </w:p>
        </w:tc>
        <w:tc>
          <w:tcPr>
            <w:tcW w:w="2059" w:type="dxa"/>
          </w:tcPr>
          <w:p w14:paraId="308AAAF7" w14:textId="342A915B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887.470,92 €</w:t>
            </w:r>
          </w:p>
        </w:tc>
        <w:tc>
          <w:tcPr>
            <w:tcW w:w="2059" w:type="dxa"/>
          </w:tcPr>
          <w:p w14:paraId="52CD89EA" w14:textId="1B5F8EAB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895.561,84 €</w:t>
            </w:r>
          </w:p>
        </w:tc>
        <w:tc>
          <w:tcPr>
            <w:tcW w:w="2060" w:type="dxa"/>
          </w:tcPr>
          <w:p w14:paraId="3230BB16" w14:textId="50435A75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526.220,38 €</w:t>
            </w:r>
          </w:p>
        </w:tc>
      </w:tr>
      <w:tr w:rsidR="002B2C43" w14:paraId="26E1E3AD" w14:textId="77777777" w:rsidTr="002B2C43">
        <w:trPr>
          <w:trHeight w:val="977"/>
        </w:trPr>
        <w:tc>
          <w:tcPr>
            <w:tcW w:w="2059" w:type="dxa"/>
          </w:tcPr>
          <w:p w14:paraId="3D0ADEDA" w14:textId="57E02679" w:rsidR="002B2C43" w:rsidRDefault="002B2C43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31 – rashodi za zaposlene</w:t>
            </w:r>
          </w:p>
        </w:tc>
        <w:tc>
          <w:tcPr>
            <w:tcW w:w="2059" w:type="dxa"/>
          </w:tcPr>
          <w:p w14:paraId="65143140" w14:textId="2EC20C48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390.567,31 €</w:t>
            </w:r>
          </w:p>
        </w:tc>
        <w:tc>
          <w:tcPr>
            <w:tcW w:w="2059" w:type="dxa"/>
          </w:tcPr>
          <w:p w14:paraId="52B25F35" w14:textId="6E5B89B4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730.964,22 €</w:t>
            </w:r>
          </w:p>
        </w:tc>
        <w:tc>
          <w:tcPr>
            <w:tcW w:w="2059" w:type="dxa"/>
          </w:tcPr>
          <w:p w14:paraId="1FFB50DE" w14:textId="2D194615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731.123,46 €</w:t>
            </w:r>
          </w:p>
        </w:tc>
        <w:tc>
          <w:tcPr>
            <w:tcW w:w="2060" w:type="dxa"/>
          </w:tcPr>
          <w:p w14:paraId="075A1B9C" w14:textId="6712D2E9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413.106,70 €</w:t>
            </w:r>
          </w:p>
        </w:tc>
      </w:tr>
      <w:tr w:rsidR="002B2C43" w14:paraId="28C0581D" w14:textId="77777777" w:rsidTr="002B2C43">
        <w:trPr>
          <w:trHeight w:val="977"/>
        </w:trPr>
        <w:tc>
          <w:tcPr>
            <w:tcW w:w="2059" w:type="dxa"/>
          </w:tcPr>
          <w:p w14:paraId="42E81992" w14:textId="71B4E3F2" w:rsidR="002B2C43" w:rsidRDefault="002B2C43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32 – materijalni rashodi</w:t>
            </w:r>
          </w:p>
        </w:tc>
        <w:tc>
          <w:tcPr>
            <w:tcW w:w="2059" w:type="dxa"/>
          </w:tcPr>
          <w:p w14:paraId="5D29D8F1" w14:textId="6B64E13D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97.833,55 €</w:t>
            </w:r>
          </w:p>
        </w:tc>
        <w:tc>
          <w:tcPr>
            <w:tcW w:w="2059" w:type="dxa"/>
          </w:tcPr>
          <w:p w14:paraId="29748CC3" w14:textId="063BAD21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151.793,71 €</w:t>
            </w:r>
          </w:p>
        </w:tc>
        <w:tc>
          <w:tcPr>
            <w:tcW w:w="2059" w:type="dxa"/>
          </w:tcPr>
          <w:p w14:paraId="7748EE4D" w14:textId="52B358FF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159.725,39 €</w:t>
            </w:r>
          </w:p>
        </w:tc>
        <w:tc>
          <w:tcPr>
            <w:tcW w:w="2060" w:type="dxa"/>
          </w:tcPr>
          <w:p w14:paraId="43EAFB88" w14:textId="26498A22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112.715,02 €</w:t>
            </w:r>
          </w:p>
        </w:tc>
      </w:tr>
      <w:tr w:rsidR="002B2C43" w14:paraId="0D5A433A" w14:textId="77777777" w:rsidTr="002B2C43">
        <w:trPr>
          <w:trHeight w:val="991"/>
        </w:trPr>
        <w:tc>
          <w:tcPr>
            <w:tcW w:w="2059" w:type="dxa"/>
          </w:tcPr>
          <w:p w14:paraId="760123DA" w14:textId="3B33322D" w:rsidR="002B2C43" w:rsidRDefault="002B2C43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34 – financijski rashodi</w:t>
            </w:r>
          </w:p>
        </w:tc>
        <w:tc>
          <w:tcPr>
            <w:tcW w:w="2059" w:type="dxa"/>
          </w:tcPr>
          <w:p w14:paraId="24C961CD" w14:textId="4558ACDE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334,83 €</w:t>
            </w:r>
          </w:p>
        </w:tc>
        <w:tc>
          <w:tcPr>
            <w:tcW w:w="2059" w:type="dxa"/>
          </w:tcPr>
          <w:p w14:paraId="5CB9B5D6" w14:textId="41E95002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106,18 €</w:t>
            </w:r>
          </w:p>
        </w:tc>
        <w:tc>
          <w:tcPr>
            <w:tcW w:w="2059" w:type="dxa"/>
          </w:tcPr>
          <w:p w14:paraId="5B81ADB4" w14:textId="728CA29D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106,18 €</w:t>
            </w:r>
          </w:p>
        </w:tc>
        <w:tc>
          <w:tcPr>
            <w:tcW w:w="2060" w:type="dxa"/>
          </w:tcPr>
          <w:p w14:paraId="18F1BFDD" w14:textId="444B0513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54,33 €</w:t>
            </w:r>
          </w:p>
        </w:tc>
      </w:tr>
      <w:tr w:rsidR="002B2C43" w14:paraId="5C747D19" w14:textId="77777777" w:rsidTr="002B2C43">
        <w:trPr>
          <w:trHeight w:val="977"/>
        </w:trPr>
        <w:tc>
          <w:tcPr>
            <w:tcW w:w="2059" w:type="dxa"/>
          </w:tcPr>
          <w:p w14:paraId="5AD1B58D" w14:textId="6D58CFAD" w:rsidR="002B2C43" w:rsidRDefault="002B2C43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37 – naknade građanima i kućanstvima</w:t>
            </w:r>
          </w:p>
        </w:tc>
        <w:tc>
          <w:tcPr>
            <w:tcW w:w="2059" w:type="dxa"/>
          </w:tcPr>
          <w:p w14:paraId="3A2EC5E1" w14:textId="0D0E7E0D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2059" w:type="dxa"/>
          </w:tcPr>
          <w:p w14:paraId="2F6A128B" w14:textId="446F0289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4.606,81 €</w:t>
            </w:r>
          </w:p>
        </w:tc>
        <w:tc>
          <w:tcPr>
            <w:tcW w:w="2059" w:type="dxa"/>
          </w:tcPr>
          <w:p w14:paraId="1356351E" w14:textId="40206A46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4.606,81 €</w:t>
            </w:r>
          </w:p>
        </w:tc>
        <w:tc>
          <w:tcPr>
            <w:tcW w:w="2060" w:type="dxa"/>
          </w:tcPr>
          <w:p w14:paraId="6D407279" w14:textId="3699E7F5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</w:t>
            </w:r>
          </w:p>
        </w:tc>
      </w:tr>
      <w:tr w:rsidR="002B2C43" w14:paraId="567D4F6C" w14:textId="77777777" w:rsidTr="002B2C43">
        <w:trPr>
          <w:trHeight w:val="849"/>
        </w:trPr>
        <w:tc>
          <w:tcPr>
            <w:tcW w:w="2059" w:type="dxa"/>
          </w:tcPr>
          <w:p w14:paraId="7BF00CB5" w14:textId="293DDEE1" w:rsidR="002B2C43" w:rsidRDefault="002B2C43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38 – ostali rashodi</w:t>
            </w:r>
          </w:p>
        </w:tc>
        <w:tc>
          <w:tcPr>
            <w:tcW w:w="2059" w:type="dxa"/>
          </w:tcPr>
          <w:p w14:paraId="432479C9" w14:textId="49646464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2059" w:type="dxa"/>
          </w:tcPr>
          <w:p w14:paraId="6960DB93" w14:textId="2B6C279F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2059" w:type="dxa"/>
          </w:tcPr>
          <w:p w14:paraId="43D48226" w14:textId="6F38C9B0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2060" w:type="dxa"/>
          </w:tcPr>
          <w:p w14:paraId="4A91CD49" w14:textId="1E5B4E92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344,33 €</w:t>
            </w:r>
          </w:p>
        </w:tc>
      </w:tr>
      <w:tr w:rsidR="002B2C43" w14:paraId="556C09E7" w14:textId="77777777" w:rsidTr="002B2C43">
        <w:trPr>
          <w:trHeight w:val="849"/>
        </w:trPr>
        <w:tc>
          <w:tcPr>
            <w:tcW w:w="2059" w:type="dxa"/>
          </w:tcPr>
          <w:p w14:paraId="2FB59901" w14:textId="6128AA0D" w:rsidR="002B2C43" w:rsidRDefault="002B2C43" w:rsidP="004D2200">
            <w:pPr>
              <w:autoSpaceDE w:val="0"/>
              <w:autoSpaceDN w:val="0"/>
              <w:adjustRightInd w:val="0"/>
              <w:spacing w:line="276" w:lineRule="auto"/>
              <w:ind w:right="160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42 – </w:t>
            </w:r>
            <w:r w:rsidRPr="002B2C4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059" w:type="dxa"/>
          </w:tcPr>
          <w:p w14:paraId="64BB907B" w14:textId="386F4DA1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441.48 €</w:t>
            </w:r>
          </w:p>
        </w:tc>
        <w:tc>
          <w:tcPr>
            <w:tcW w:w="2059" w:type="dxa"/>
          </w:tcPr>
          <w:p w14:paraId="0AA2A5B7" w14:textId="5FD024BD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9.556,04 €</w:t>
            </w:r>
          </w:p>
        </w:tc>
        <w:tc>
          <w:tcPr>
            <w:tcW w:w="2059" w:type="dxa"/>
          </w:tcPr>
          <w:p w14:paraId="1CBC0798" w14:textId="33FDA214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9.556,04 €</w:t>
            </w:r>
          </w:p>
        </w:tc>
        <w:tc>
          <w:tcPr>
            <w:tcW w:w="2060" w:type="dxa"/>
          </w:tcPr>
          <w:p w14:paraId="747C08D7" w14:textId="369A15BC" w:rsidR="002B2C43" w:rsidRDefault="002B2C43" w:rsidP="002B2C43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18,98 €</w:t>
            </w:r>
          </w:p>
        </w:tc>
      </w:tr>
    </w:tbl>
    <w:p w14:paraId="2307AAEF" w14:textId="1DA80B02" w:rsidR="002B2C43" w:rsidRDefault="002B2C43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52BB14B5" w14:textId="77777777" w:rsidR="00145B61" w:rsidRPr="00B5048A" w:rsidRDefault="00145B61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1A20F590" w14:textId="44F1EDCC" w:rsidR="00145B61" w:rsidRPr="00B5048A" w:rsidRDefault="00145B61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5048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Ukupni rashodi i izdaci za razdoblje od siječnja do lipnja 2023. godine iznose 526.239,36 €. U tablici Izvršenje po programskoj klasifikaciji je detaljna razrada rashoda i izdataka po namjeni. </w:t>
      </w:r>
    </w:p>
    <w:p w14:paraId="5B395FF8" w14:textId="77777777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4652611B" w14:textId="77777777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5ABFDE65" w14:textId="77777777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29527E22" w14:textId="77777777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754761DC" w14:textId="77777777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70462C19" w14:textId="77777777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03C7F8F" w14:textId="4E821AAD" w:rsidR="00145B61" w:rsidRDefault="00E078B2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E078B2">
        <w:rPr>
          <w:rFonts w:ascii="Times New Roman" w:eastAsia="Calibri" w:hAnsi="Times New Roman" w:cs="Times New Roman"/>
          <w:b/>
          <w:bCs/>
          <w:iCs/>
          <w:color w:val="000000"/>
        </w:rPr>
        <w:t xml:space="preserve">2. </w:t>
      </w:r>
      <w:r>
        <w:rPr>
          <w:rFonts w:ascii="Times New Roman" w:eastAsia="Calibri" w:hAnsi="Times New Roman" w:cs="Times New Roman"/>
          <w:b/>
          <w:bCs/>
          <w:iCs/>
          <w:color w:val="000000"/>
        </w:rPr>
        <w:t>POSEBNI</w:t>
      </w:r>
      <w:r w:rsidRPr="00E078B2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DIO IZVRŠENJA FINANCIJSKOG PLANA 2023.</w:t>
      </w:r>
    </w:p>
    <w:p w14:paraId="311B4AA0" w14:textId="011F76C7" w:rsidR="00E078B2" w:rsidRPr="00E078B2" w:rsidRDefault="00E078B2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tbl>
      <w:tblPr>
        <w:tblStyle w:val="Reetkatablice"/>
        <w:tblW w:w="0" w:type="auto"/>
        <w:tblInd w:w="160" w:type="dxa"/>
        <w:tblLook w:val="04A0" w:firstRow="1" w:lastRow="0" w:firstColumn="1" w:lastColumn="0" w:noHBand="0" w:noVBand="1"/>
      </w:tblPr>
      <w:tblGrid>
        <w:gridCol w:w="2595"/>
        <w:gridCol w:w="2567"/>
        <w:gridCol w:w="2567"/>
        <w:gridCol w:w="2567"/>
      </w:tblGrid>
      <w:tr w:rsidR="00E078B2" w14:paraId="2C209856" w14:textId="77777777" w:rsidTr="00E078B2">
        <w:trPr>
          <w:trHeight w:val="686"/>
        </w:trPr>
        <w:tc>
          <w:tcPr>
            <w:tcW w:w="2595" w:type="dxa"/>
          </w:tcPr>
          <w:p w14:paraId="3F396239" w14:textId="005AC62F" w:rsidR="00E078B2" w:rsidRPr="00B5048A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NAZIV PROGRAMA</w:t>
            </w:r>
          </w:p>
        </w:tc>
        <w:tc>
          <w:tcPr>
            <w:tcW w:w="2567" w:type="dxa"/>
          </w:tcPr>
          <w:p w14:paraId="1779EE4A" w14:textId="68429790" w:rsidR="00E078B2" w:rsidRPr="00B5048A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 xml:space="preserve">IZVORNI   PLAN </w:t>
            </w:r>
            <w:r w:rsidR="00B5048A">
              <w:rPr>
                <w:rFonts w:ascii="Times New Roman" w:eastAsia="Calibri" w:hAnsi="Times New Roman" w:cs="Times New Roman"/>
                <w:i/>
                <w:color w:val="000000"/>
              </w:rPr>
              <w:t xml:space="preserve">  </w:t>
            </w: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 xml:space="preserve">  2023</w:t>
            </w:r>
          </w:p>
        </w:tc>
        <w:tc>
          <w:tcPr>
            <w:tcW w:w="2567" w:type="dxa"/>
          </w:tcPr>
          <w:p w14:paraId="3BB74E98" w14:textId="64FA9643" w:rsidR="00E078B2" w:rsidRPr="00B5048A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>TEKUĆI   PLAN        2023</w:t>
            </w:r>
          </w:p>
        </w:tc>
        <w:tc>
          <w:tcPr>
            <w:tcW w:w="2567" w:type="dxa"/>
          </w:tcPr>
          <w:p w14:paraId="024F0287" w14:textId="5DBD5956" w:rsidR="00E078B2" w:rsidRPr="00B5048A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 xml:space="preserve">IZVRŠENJE             </w:t>
            </w:r>
            <w:r w:rsidR="00B5048A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B5048A">
              <w:rPr>
                <w:rFonts w:ascii="Times New Roman" w:eastAsia="Calibri" w:hAnsi="Times New Roman" w:cs="Times New Roman"/>
                <w:i/>
                <w:color w:val="000000"/>
              </w:rPr>
              <w:t xml:space="preserve">   06 / 2023</w:t>
            </w:r>
          </w:p>
        </w:tc>
      </w:tr>
      <w:tr w:rsidR="00E078B2" w14:paraId="60FB5E97" w14:textId="77777777" w:rsidTr="00E078B2">
        <w:trPr>
          <w:trHeight w:val="1087"/>
        </w:trPr>
        <w:tc>
          <w:tcPr>
            <w:tcW w:w="2595" w:type="dxa"/>
          </w:tcPr>
          <w:p w14:paraId="6B372663" w14:textId="77777777" w:rsid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Kapitalni</w:t>
            </w: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projekt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 :</w:t>
            </w:r>
          </w:p>
          <w:p w14:paraId="7980E3EC" w14:textId="4E3FC5B6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Ulaganje u zajednicu</w:t>
            </w:r>
          </w:p>
        </w:tc>
        <w:tc>
          <w:tcPr>
            <w:tcW w:w="2567" w:type="dxa"/>
          </w:tcPr>
          <w:p w14:paraId="60B4CCEB" w14:textId="25FD612E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15.</w:t>
            </w:r>
            <w:r>
              <w:rPr>
                <w:rFonts w:ascii="Times New Roman" w:eastAsia="Calibri" w:hAnsi="Times New Roman" w:cs="Times New Roman"/>
                <w:iCs/>
                <w:color w:val="000000"/>
              </w:rPr>
              <w:t>926</w:t>
            </w: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,74 €</w:t>
            </w:r>
          </w:p>
        </w:tc>
        <w:tc>
          <w:tcPr>
            <w:tcW w:w="2567" w:type="dxa"/>
          </w:tcPr>
          <w:p w14:paraId="13263AB3" w14:textId="1E6CF74F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15.926,74 €</w:t>
            </w:r>
          </w:p>
        </w:tc>
        <w:tc>
          <w:tcPr>
            <w:tcW w:w="2567" w:type="dxa"/>
          </w:tcPr>
          <w:p w14:paraId="3CA6AB03" w14:textId="66A329D5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15.926,74 €</w:t>
            </w:r>
          </w:p>
        </w:tc>
      </w:tr>
      <w:tr w:rsidR="00E078B2" w14:paraId="3C0B2312" w14:textId="77777777" w:rsidTr="00E078B2">
        <w:trPr>
          <w:trHeight w:val="989"/>
        </w:trPr>
        <w:tc>
          <w:tcPr>
            <w:tcW w:w="2595" w:type="dxa"/>
          </w:tcPr>
          <w:p w14:paraId="1257AFEF" w14:textId="77777777" w:rsid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Tekući projekt:</w:t>
            </w:r>
          </w:p>
          <w:p w14:paraId="2668B228" w14:textId="5572C0DB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„Osiguravanje školske prehrane za djecu u riziku od siromaštva“</w:t>
            </w:r>
          </w:p>
        </w:tc>
        <w:tc>
          <w:tcPr>
            <w:tcW w:w="2567" w:type="dxa"/>
          </w:tcPr>
          <w:p w14:paraId="19876035" w14:textId="49ADD709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8.973,28 €</w:t>
            </w:r>
          </w:p>
        </w:tc>
        <w:tc>
          <w:tcPr>
            <w:tcW w:w="2567" w:type="dxa"/>
          </w:tcPr>
          <w:p w14:paraId="79828327" w14:textId="4B490457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8.973,26 €</w:t>
            </w:r>
          </w:p>
        </w:tc>
        <w:tc>
          <w:tcPr>
            <w:tcW w:w="2567" w:type="dxa"/>
          </w:tcPr>
          <w:p w14:paraId="1EEE6E53" w14:textId="0354AECE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7.370,93 €</w:t>
            </w:r>
          </w:p>
        </w:tc>
      </w:tr>
      <w:tr w:rsidR="00E078B2" w14:paraId="0937D958" w14:textId="77777777" w:rsidTr="00E078B2">
        <w:trPr>
          <w:trHeight w:val="911"/>
        </w:trPr>
        <w:tc>
          <w:tcPr>
            <w:tcW w:w="2595" w:type="dxa"/>
          </w:tcPr>
          <w:p w14:paraId="183C8FA5" w14:textId="319B0B87" w:rsid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Tekući projekt:</w:t>
            </w:r>
          </w:p>
          <w:p w14:paraId="241602CD" w14:textId="30243D0B" w:rsid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„Školska shema“</w:t>
            </w:r>
          </w:p>
          <w:p w14:paraId="73D79C7B" w14:textId="77777777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14:paraId="124D36DE" w14:textId="282E6DF1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567" w:type="dxa"/>
          </w:tcPr>
          <w:p w14:paraId="373EA782" w14:textId="24DE09DA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1.523,80 €</w:t>
            </w:r>
          </w:p>
        </w:tc>
        <w:tc>
          <w:tcPr>
            <w:tcW w:w="2567" w:type="dxa"/>
          </w:tcPr>
          <w:p w14:paraId="79ACFD4A" w14:textId="703450FB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1.523,80 €</w:t>
            </w:r>
          </w:p>
        </w:tc>
        <w:tc>
          <w:tcPr>
            <w:tcW w:w="2567" w:type="dxa"/>
          </w:tcPr>
          <w:p w14:paraId="7C7E02A1" w14:textId="10912C7E" w:rsidR="00E078B2" w:rsidRPr="00E078B2" w:rsidRDefault="00E078B2" w:rsidP="00E078B2">
            <w:pPr>
              <w:autoSpaceDE w:val="0"/>
              <w:autoSpaceDN w:val="0"/>
              <w:adjustRightInd w:val="0"/>
              <w:spacing w:line="276" w:lineRule="auto"/>
              <w:ind w:right="160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078B2">
              <w:rPr>
                <w:rFonts w:ascii="Times New Roman" w:eastAsia="Calibri" w:hAnsi="Times New Roman" w:cs="Times New Roman"/>
                <w:iCs/>
                <w:color w:val="000000"/>
              </w:rPr>
              <w:t>898,95 €</w:t>
            </w:r>
          </w:p>
        </w:tc>
      </w:tr>
    </w:tbl>
    <w:p w14:paraId="2F1C6173" w14:textId="77777777" w:rsidR="00E078B2" w:rsidRDefault="00E078B2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59C56CF6" w14:textId="2C649872" w:rsidR="00E078B2" w:rsidRDefault="00E078B2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2A390982" w14:textId="494C7EBD" w:rsidR="00E078B2" w:rsidRDefault="00E078B2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6A6ECF6" w14:textId="1CDD4ABF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5EC5C587" w14:textId="7CE8B20F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</w:rPr>
        <w:t>3</w:t>
      </w:r>
      <w:r w:rsidRPr="00E078B2">
        <w:rPr>
          <w:rFonts w:ascii="Times New Roman" w:eastAsia="Calibri" w:hAnsi="Times New Roman" w:cs="Times New Roman"/>
          <w:b/>
          <w:bCs/>
          <w:iCs/>
          <w:color w:val="000000"/>
        </w:rPr>
        <w:t xml:space="preserve">. </w:t>
      </w:r>
      <w:r>
        <w:rPr>
          <w:rFonts w:ascii="Times New Roman" w:eastAsia="Calibri" w:hAnsi="Times New Roman" w:cs="Times New Roman"/>
          <w:b/>
          <w:bCs/>
          <w:iCs/>
          <w:color w:val="000000"/>
        </w:rPr>
        <w:t>VIŠAK / MANJAK</w:t>
      </w:r>
    </w:p>
    <w:p w14:paraId="70894FC2" w14:textId="0603E695" w:rsidR="00B5048A" w:rsidRDefault="00B5048A" w:rsidP="004D2200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5EB1A2CA" w14:textId="016F909E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5048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Osnovna škola Ivana Gorana Kovačića Gornje </w:t>
      </w:r>
      <w:proofErr w:type="spellStart"/>
      <w:r w:rsidRPr="00B5048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Bazje</w:t>
      </w:r>
      <w:proofErr w:type="spellEnd"/>
      <w:r w:rsidRPr="00B5048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poslovala je u periodu od 01.01.2023. - 30.06.2023. godine s viškom u iznosu od 13.471.90 €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14:paraId="300BBEE3" w14:textId="65A3AAF2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Neki od značajnih rashoda u prvoj polovici godine su obnova školske sportske dvorane u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Turanovcu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te završ</w:t>
      </w:r>
      <w:r w:rsid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ne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provedb</w:t>
      </w:r>
      <w:r w:rsid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e mobilnosti za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Erasmus projekt</w:t>
      </w:r>
      <w:r w:rsid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14:paraId="443AAF11" w14:textId="1A5AFE7D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2FE1B6AF" w14:textId="32C0E7D1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B5048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NAPOMENA</w:t>
      </w:r>
    </w:p>
    <w:p w14:paraId="2D89FC17" w14:textId="2198DCEB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005FDFB1" w14:textId="799AF525" w:rsidR="00B5048A" w:rsidRPr="00EC6EFB" w:rsidRDefault="00B5048A" w:rsidP="00B5048A">
      <w:pPr>
        <w:autoSpaceDE w:val="0"/>
        <w:autoSpaceDN w:val="0"/>
        <w:adjustRightInd w:val="0"/>
        <w:spacing w:after="0" w:line="276" w:lineRule="auto"/>
        <w:ind w:left="160" w:right="1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Rashodi iskazani na financijskom izvještaju za razdoblje 01.01.2023. – 31.06.2023. iznose 525.489,10 € dok na izvršenju proračuna za isto razdoblje iznose  526.220,38 €.</w:t>
      </w:r>
    </w:p>
    <w:p w14:paraId="48BB7D83" w14:textId="78FAC67F" w:rsidR="00B5048A" w:rsidRDefault="00B5048A" w:rsidP="00B5048A">
      <w:pPr>
        <w:autoSpaceDE w:val="0"/>
        <w:autoSpaceDN w:val="0"/>
        <w:adjustRightInd w:val="0"/>
        <w:spacing w:after="0" w:line="276" w:lineRule="auto"/>
        <w:ind w:left="160" w:right="1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Navedena razlika</w:t>
      </w:r>
      <w:r w:rsidR="00EC6EFB" w:rsidRP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u iznosu</w:t>
      </w:r>
      <w:r w:rsidRP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od </w:t>
      </w:r>
      <w:r w:rsidR="00EC6EFB" w:rsidRP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731,28 € nastala je zbog toga što u trenutku predaje financijskog izvješća (rok za predaju 10. srpnja 2023.) još nisu pristigli svi računi koji su se odnosili na lipanj 2023. godine. Navedeni računi knjiženi su</w:t>
      </w:r>
      <w:r w:rsid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odmah po zaprimanju, ali</w:t>
      </w:r>
      <w:r w:rsidR="00EC6EFB" w:rsidRP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nakon predaje financijskog izvješća te su stoga vidljivi na ovom izvješću o izvršenju proračuna</w:t>
      </w:r>
      <w:r w:rsidR="00EC6EF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a stavka rashoda na financijskom izvješću je manja za navedeni iznos.</w:t>
      </w:r>
    </w:p>
    <w:p w14:paraId="479DFE22" w14:textId="132B2BE8" w:rsidR="00EC6EFB" w:rsidRDefault="00EC6EFB" w:rsidP="00B5048A">
      <w:pPr>
        <w:autoSpaceDE w:val="0"/>
        <w:autoSpaceDN w:val="0"/>
        <w:adjustRightInd w:val="0"/>
        <w:spacing w:after="0" w:line="276" w:lineRule="auto"/>
        <w:ind w:left="160" w:right="1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A4016AE" w14:textId="07B30248" w:rsidR="00EC6EFB" w:rsidRDefault="00EC6EFB" w:rsidP="00B5048A">
      <w:pPr>
        <w:autoSpaceDE w:val="0"/>
        <w:autoSpaceDN w:val="0"/>
        <w:adjustRightInd w:val="0"/>
        <w:spacing w:after="0" w:line="276" w:lineRule="auto"/>
        <w:ind w:left="160" w:right="1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96B3B60" w14:textId="21D1CD0F" w:rsidR="00EC6EFB" w:rsidRDefault="00EC6EFB" w:rsidP="00B5048A">
      <w:pPr>
        <w:autoSpaceDE w:val="0"/>
        <w:autoSpaceDN w:val="0"/>
        <w:adjustRightInd w:val="0"/>
        <w:spacing w:after="0" w:line="276" w:lineRule="auto"/>
        <w:ind w:left="160" w:right="1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08B4839B" w14:textId="1A22ACD2" w:rsidR="00EC6EFB" w:rsidRDefault="00EC6EFB" w:rsidP="00EC6EFB">
      <w:pPr>
        <w:autoSpaceDE w:val="0"/>
        <w:autoSpaceDN w:val="0"/>
        <w:adjustRightInd w:val="0"/>
        <w:spacing w:after="0" w:line="276" w:lineRule="auto"/>
        <w:ind w:left="160" w:right="160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Ravnatelj škole:</w:t>
      </w:r>
    </w:p>
    <w:p w14:paraId="4435FA4F" w14:textId="07A0C6E5" w:rsidR="00EC6EFB" w:rsidRPr="00EC6EFB" w:rsidRDefault="00EC6EFB" w:rsidP="00EC6EFB">
      <w:pPr>
        <w:autoSpaceDE w:val="0"/>
        <w:autoSpaceDN w:val="0"/>
        <w:adjustRightInd w:val="0"/>
        <w:spacing w:after="0" w:line="276" w:lineRule="auto"/>
        <w:ind w:left="160" w:right="160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Saša Topić, prof.</w:t>
      </w:r>
    </w:p>
    <w:sectPr w:rsidR="00EC6EFB" w:rsidRPr="00EC6EFB" w:rsidSect="004D2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00"/>
    <w:rsid w:val="000F31FB"/>
    <w:rsid w:val="00145B61"/>
    <w:rsid w:val="002B2C43"/>
    <w:rsid w:val="004D2200"/>
    <w:rsid w:val="006D2CE5"/>
    <w:rsid w:val="00765C20"/>
    <w:rsid w:val="00A77C10"/>
    <w:rsid w:val="00B5048A"/>
    <w:rsid w:val="00E078B2"/>
    <w:rsid w:val="00EC6EFB"/>
    <w:rsid w:val="00E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1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D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D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33/786-15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Nežić</dc:creator>
  <cp:lastModifiedBy>Tajništvo</cp:lastModifiedBy>
  <cp:revision>2</cp:revision>
  <dcterms:created xsi:type="dcterms:W3CDTF">2023-08-30T06:44:00Z</dcterms:created>
  <dcterms:modified xsi:type="dcterms:W3CDTF">2023-08-30T06:44:00Z</dcterms:modified>
</cp:coreProperties>
</file>